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00287">
      <w:pPr>
        <w:keepNext w:val="0"/>
        <w:keepLines w:val="0"/>
        <w:pageBreakBefore w:val="0"/>
        <w:widowControl w:val="0"/>
        <w:kinsoku/>
        <w:wordWrap/>
        <w:overflowPunct/>
        <w:topLinePunct w:val="0"/>
        <w:autoSpaceDE/>
        <w:autoSpaceDN/>
        <w:bidi w:val="0"/>
        <w:adjustRightInd/>
        <w:snapToGrid/>
        <w:ind w:firstLine="560" w:firstLineChars="200"/>
        <w:textAlignment w:val="auto"/>
      </w:pPr>
      <w:r>
        <w:rPr>
          <w:rFonts w:hint="eastAsia"/>
          <w:lang w:val="en-US" w:eastAsia="zh-CN"/>
        </w:rPr>
        <w:t>我司采购信息管理系统（SRM），</w:t>
      </w:r>
      <w:r>
        <w:rPr>
          <w:rFonts w:hint="eastAsia"/>
        </w:rPr>
        <w:t>是</w:t>
      </w:r>
      <w:r>
        <w:rPr>
          <w:rFonts w:hint="eastAsia" w:ascii="仿宋" w:hAnsi="仿宋"/>
          <w:lang w:eastAsia="zh-CN"/>
        </w:rPr>
        <w:t>中骏智能</w:t>
      </w:r>
      <w:r>
        <w:rPr>
          <w:rFonts w:hint="eastAsia"/>
          <w:lang w:val="en-US" w:eastAsia="zh-CN"/>
        </w:rPr>
        <w:t>集团</w:t>
      </w:r>
      <w:r>
        <w:rPr>
          <w:rFonts w:hint="eastAsia"/>
        </w:rPr>
        <w:t>下属公司单位进行供应商管理和物资招标采购等工作所使用的统一平台。</w:t>
      </w:r>
      <w:r>
        <w:rPr>
          <w:rFonts w:hint="eastAsia" w:ascii="微软雅黑" w:hAnsi="微软雅黑" w:eastAsia="微软雅黑"/>
          <w:color w:val="333333"/>
          <w:shd w:val="clear" w:color="auto" w:fill="FFFFFF"/>
        </w:rPr>
        <w:t> </w:t>
      </w:r>
      <w:r>
        <w:rPr>
          <w:rFonts w:hint="eastAsia"/>
        </w:rPr>
        <w:t>通过</w:t>
      </w:r>
      <w:r>
        <w:rPr>
          <w:rFonts w:hint="eastAsia"/>
          <w:lang w:val="en-US" w:eastAsia="zh-CN"/>
        </w:rPr>
        <w:t>采购信息管理</w:t>
      </w:r>
      <w:r>
        <w:rPr>
          <w:rFonts w:hint="eastAsia"/>
        </w:rPr>
        <w:t>，</w:t>
      </w:r>
      <w:r>
        <w:rPr>
          <w:rFonts w:hint="eastAsia"/>
          <w:lang w:val="en-US" w:eastAsia="zh-CN"/>
        </w:rPr>
        <w:t>能够</w:t>
      </w:r>
      <w:r>
        <w:rPr>
          <w:rFonts w:hint="eastAsia"/>
        </w:rPr>
        <w:t>大幅提升供应商管理能力、降低采购成本、简化采购流程、管控供应链潜在风险。</w:t>
      </w:r>
    </w:p>
    <w:p w14:paraId="16318861">
      <w:pPr>
        <w:ind w:firstLine="560" w:firstLineChars="200"/>
        <w:rPr>
          <w:rFonts w:hint="eastAsia" w:eastAsia="仿宋"/>
          <w:lang w:eastAsia="zh-CN"/>
        </w:rPr>
      </w:pPr>
      <w:r>
        <w:rPr>
          <w:rFonts w:hint="eastAsia"/>
        </w:rPr>
        <w:t>通过</w:t>
      </w:r>
      <w:r>
        <w:rPr>
          <w:rFonts w:hint="eastAsia"/>
          <w:lang w:val="en-US" w:eastAsia="zh-CN"/>
        </w:rPr>
        <w:t>SRM系统</w:t>
      </w:r>
      <w:r>
        <w:rPr>
          <w:rFonts w:hint="eastAsia"/>
        </w:rPr>
        <w:t>，</w:t>
      </w:r>
      <w:r>
        <w:rPr>
          <w:rFonts w:hint="eastAsia"/>
          <w:lang w:val="en-US" w:eastAsia="zh-CN"/>
        </w:rPr>
        <w:t>中骏智能（泉州）</w:t>
      </w:r>
      <w:r>
        <w:rPr>
          <w:rFonts w:hint="eastAsia"/>
        </w:rPr>
        <w:t>能实现：（1）对新供应商的准入、认证和审批进行管理；（</w:t>
      </w:r>
      <w:r>
        <w:t>2</w:t>
      </w:r>
      <w:r>
        <w:rPr>
          <w:rFonts w:hint="eastAsia"/>
        </w:rPr>
        <w:t>）发布相关信息，进行各类物资的询价、招标和采购流程。该平台帮助公司实现了供应商</w:t>
      </w:r>
      <w:r>
        <w:rPr>
          <w:rFonts w:hint="eastAsia"/>
          <w:lang w:val="en-US" w:eastAsia="zh-CN"/>
        </w:rPr>
        <w:t>的精细管理和把控、保证各类物资招标采购的公平性和透明度。</w:t>
      </w:r>
    </w:p>
    <w:p w14:paraId="55EFC07D">
      <w:pPr>
        <w:jc w:val="center"/>
        <w:rPr>
          <w:rFonts w:hint="eastAsia" w:eastAsia="仿宋"/>
          <w:b/>
          <w:bCs/>
          <w:sz w:val="24"/>
          <w:szCs w:val="21"/>
          <w:lang w:eastAsia="zh-CN"/>
        </w:rPr>
      </w:pPr>
    </w:p>
    <w:p w14:paraId="10C7372B">
      <w:pPr>
        <w:jc w:val="center"/>
        <w:rPr>
          <w:rFonts w:hint="eastAsia" w:eastAsia="仿宋"/>
          <w:b/>
          <w:bCs/>
          <w:sz w:val="24"/>
          <w:szCs w:val="21"/>
          <w:lang w:eastAsia="zh-CN"/>
        </w:rPr>
      </w:pPr>
      <w:r>
        <w:rPr>
          <w:rFonts w:hint="eastAsia" w:eastAsia="仿宋"/>
          <w:lang w:eastAsia="zh-CN"/>
        </w:rPr>
        <w:drawing>
          <wp:inline distT="0" distB="0" distL="114300" distR="114300">
            <wp:extent cx="5272405" cy="2750185"/>
            <wp:effectExtent l="0" t="0" r="4445" b="12065"/>
            <wp:docPr id="216" name="图片 216" descr="e02b8f89e166ee719aeb8790bbb32e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descr="e02b8f89e166ee719aeb8790bbb32e05"/>
                    <pic:cNvPicPr>
                      <a:picLocks noChangeAspect="1"/>
                    </pic:cNvPicPr>
                  </pic:nvPicPr>
                  <pic:blipFill>
                    <a:blip r:embed="rId6"/>
                    <a:stretch>
                      <a:fillRect/>
                    </a:stretch>
                  </pic:blipFill>
                  <pic:spPr>
                    <a:xfrm>
                      <a:off x="0" y="0"/>
                      <a:ext cx="5272405" cy="2750185"/>
                    </a:xfrm>
                    <a:prstGeom prst="rect">
                      <a:avLst/>
                    </a:prstGeom>
                  </pic:spPr>
                </pic:pic>
              </a:graphicData>
            </a:graphic>
          </wp:inline>
        </w:drawing>
      </w:r>
    </w:p>
    <w:p w14:paraId="65330D2F">
      <w:pPr>
        <w:jc w:val="center"/>
        <w:rPr>
          <w:rFonts w:hint="eastAsia" w:eastAsia="仿宋"/>
          <w:lang w:eastAsia="zh-CN"/>
        </w:rPr>
      </w:pPr>
      <w:r>
        <w:rPr>
          <w:rFonts w:hint="eastAsia"/>
          <w:b/>
          <w:bCs/>
          <w:sz w:val="24"/>
          <w:szCs w:val="21"/>
        </w:rPr>
        <w:t>供应商准入审批</w:t>
      </w:r>
      <w:r>
        <w:rPr>
          <w:rFonts w:hint="eastAsia" w:eastAsia="仿宋"/>
          <w:lang w:eastAsia="zh-CN"/>
        </w:rPr>
        <w:drawing>
          <wp:inline distT="0" distB="0" distL="114300" distR="114300">
            <wp:extent cx="6187440" cy="3045460"/>
            <wp:effectExtent l="0" t="0" r="3810" b="2540"/>
            <wp:docPr id="2" name="图片 2" descr="7a044632795664dc91066a99f9ee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a044632795664dc91066a99f9ee3333"/>
                    <pic:cNvPicPr>
                      <a:picLocks noChangeAspect="1"/>
                    </pic:cNvPicPr>
                  </pic:nvPicPr>
                  <pic:blipFill>
                    <a:blip r:embed="rId7"/>
                    <a:stretch>
                      <a:fillRect/>
                    </a:stretch>
                  </pic:blipFill>
                  <pic:spPr>
                    <a:xfrm>
                      <a:off x="0" y="0"/>
                      <a:ext cx="6187440" cy="3045460"/>
                    </a:xfrm>
                    <a:prstGeom prst="rect">
                      <a:avLst/>
                    </a:prstGeom>
                  </pic:spPr>
                </pic:pic>
              </a:graphicData>
            </a:graphic>
          </wp:inline>
        </w:drawing>
      </w:r>
    </w:p>
    <w:p w14:paraId="1403D9A5">
      <w:pPr>
        <w:jc w:val="both"/>
        <w:rPr>
          <w:rFonts w:hint="eastAsia"/>
          <w:b/>
          <w:bCs/>
          <w:sz w:val="24"/>
          <w:szCs w:val="21"/>
          <w:lang w:val="en-US" w:eastAsia="zh-CN"/>
        </w:rPr>
      </w:pPr>
      <w:r>
        <w:rPr>
          <w:rFonts w:hint="eastAsia"/>
          <w:lang w:val="en-US" w:eastAsia="zh-CN"/>
        </w:rPr>
        <w:t xml:space="preserve">                               </w:t>
      </w:r>
      <w:r>
        <w:rPr>
          <w:rFonts w:hint="eastAsia"/>
          <w:b/>
          <w:bCs/>
          <w:sz w:val="24"/>
          <w:szCs w:val="21"/>
          <w:lang w:val="en-US" w:eastAsia="zh-CN"/>
        </w:rPr>
        <w:t>供应商退出审核</w:t>
      </w:r>
    </w:p>
    <w:p w14:paraId="3E36F61C">
      <w:pPr>
        <w:jc w:val="both"/>
        <w:rPr>
          <w:rFonts w:hint="eastAsia"/>
          <w:b/>
          <w:bCs/>
          <w:sz w:val="24"/>
          <w:szCs w:val="21"/>
          <w:lang w:val="en-US" w:eastAsia="zh-CN"/>
        </w:rPr>
      </w:pPr>
    </w:p>
    <w:p w14:paraId="417A67E7">
      <w:pPr>
        <w:jc w:val="both"/>
        <w:rPr>
          <w:rFonts w:hint="eastAsia"/>
          <w:b/>
          <w:bCs/>
          <w:sz w:val="24"/>
          <w:szCs w:val="21"/>
          <w:lang w:val="en-US" w:eastAsia="zh-CN"/>
        </w:rPr>
      </w:pPr>
    </w:p>
    <w:p w14:paraId="676D682F">
      <w:pPr>
        <w:jc w:val="both"/>
        <w:rPr>
          <w:rFonts w:hint="eastAsia"/>
          <w:b/>
          <w:bCs/>
          <w:sz w:val="24"/>
          <w:szCs w:val="21"/>
          <w:lang w:val="en-US" w:eastAsia="zh-CN"/>
        </w:rPr>
      </w:pPr>
    </w:p>
    <w:p w14:paraId="34044B24">
      <w:pPr>
        <w:jc w:val="both"/>
        <w:rPr>
          <w:rFonts w:hint="eastAsia"/>
          <w:b/>
          <w:bCs/>
          <w:sz w:val="24"/>
          <w:szCs w:val="21"/>
          <w:lang w:val="en-US" w:eastAsia="zh-CN"/>
        </w:rPr>
      </w:pPr>
    </w:p>
    <w:p w14:paraId="18A58B10">
      <w:pPr>
        <w:jc w:val="both"/>
        <w:rPr>
          <w:rFonts w:hint="eastAsia"/>
          <w:b/>
          <w:bCs/>
          <w:sz w:val="24"/>
          <w:szCs w:val="21"/>
          <w:lang w:val="en-US" w:eastAsia="zh-CN"/>
        </w:rPr>
      </w:pPr>
    </w:p>
    <w:p w14:paraId="7FBAC5CB">
      <w:pPr>
        <w:jc w:val="both"/>
        <w:rPr>
          <w:rFonts w:hint="eastAsia"/>
          <w:b/>
          <w:bCs/>
          <w:sz w:val="24"/>
          <w:szCs w:val="21"/>
          <w:lang w:val="en-US" w:eastAsia="zh-CN"/>
        </w:rPr>
      </w:pPr>
      <w:bookmarkStart w:id="0" w:name="_GoBack"/>
      <w:bookmarkEnd w:id="0"/>
    </w:p>
    <w:p w14:paraId="11BAE836">
      <w:pPr>
        <w:jc w:val="center"/>
        <w:rPr>
          <w:rFonts w:hint="eastAsia" w:eastAsia="仿宋"/>
          <w:lang w:eastAsia="zh-CN"/>
        </w:rPr>
      </w:pPr>
      <w:r>
        <w:rPr>
          <w:rFonts w:hint="eastAsia" w:eastAsia="仿宋"/>
          <w:lang w:eastAsia="zh-CN"/>
        </w:rPr>
        <w:drawing>
          <wp:inline distT="0" distB="0" distL="114300" distR="114300">
            <wp:extent cx="5256530" cy="1927225"/>
            <wp:effectExtent l="0" t="0" r="1270" b="15875"/>
            <wp:docPr id="217" name="图片 217" descr="SRM系统对外公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descr="SRM系统对外公布"/>
                    <pic:cNvPicPr>
                      <a:picLocks noChangeAspect="1"/>
                    </pic:cNvPicPr>
                  </pic:nvPicPr>
                  <pic:blipFill>
                    <a:blip r:embed="rId8"/>
                    <a:stretch>
                      <a:fillRect/>
                    </a:stretch>
                  </pic:blipFill>
                  <pic:spPr>
                    <a:xfrm>
                      <a:off x="0" y="0"/>
                      <a:ext cx="5256530" cy="1927225"/>
                    </a:xfrm>
                    <a:prstGeom prst="rect">
                      <a:avLst/>
                    </a:prstGeom>
                  </pic:spPr>
                </pic:pic>
              </a:graphicData>
            </a:graphic>
          </wp:inline>
        </w:drawing>
      </w:r>
    </w:p>
    <w:p w14:paraId="6B9DC44A">
      <w:pPr>
        <w:jc w:val="center"/>
        <w:rPr>
          <w:rFonts w:hint="eastAsia"/>
          <w:b/>
          <w:bCs/>
          <w:sz w:val="24"/>
          <w:szCs w:val="21"/>
          <w:lang w:val="en-US" w:eastAsia="zh-CN"/>
        </w:rPr>
      </w:pPr>
      <w:r>
        <w:rPr>
          <w:rFonts w:hint="eastAsia"/>
          <w:b/>
          <w:bCs/>
          <w:sz w:val="24"/>
          <w:szCs w:val="21"/>
          <w:lang w:val="en-US" w:eastAsia="zh-CN"/>
        </w:rPr>
        <w:t>招标竞价</w:t>
      </w:r>
    </w:p>
    <w:p w14:paraId="39241312">
      <w:pPr>
        <w:jc w:val="center"/>
        <w:rPr>
          <w:rFonts w:hint="eastAsia"/>
          <w:b/>
          <w:bCs/>
          <w:sz w:val="24"/>
          <w:szCs w:val="21"/>
          <w:lang w:val="en-US" w:eastAsia="zh-CN"/>
        </w:rPr>
      </w:pPr>
    </w:p>
    <w:p w14:paraId="7811E71C">
      <w:pPr>
        <w:jc w:val="center"/>
        <w:rPr>
          <w:rFonts w:hint="default"/>
          <w:b/>
          <w:bCs/>
          <w:sz w:val="24"/>
          <w:szCs w:val="21"/>
          <w:lang w:val="en-US" w:eastAsia="zh-CN"/>
        </w:rPr>
      </w:pPr>
    </w:p>
    <w:p w14:paraId="4B23440B">
      <w:pPr>
        <w:jc w:val="center"/>
        <w:rPr>
          <w:rFonts w:hint="eastAsia"/>
          <w:b/>
          <w:bCs/>
          <w:sz w:val="24"/>
          <w:szCs w:val="21"/>
        </w:rPr>
      </w:pPr>
      <w:r>
        <w:rPr>
          <w:rFonts w:hint="eastAsia"/>
          <w:b/>
          <w:bCs/>
          <w:sz w:val="24"/>
          <w:szCs w:val="21"/>
        </w:rPr>
        <w:drawing>
          <wp:inline distT="0" distB="0" distL="114300" distR="114300">
            <wp:extent cx="6181090" cy="3771265"/>
            <wp:effectExtent l="0" t="0" r="10160" b="635"/>
            <wp:docPr id="1" name="图片 1" descr="c969b4ca473b607877877b16da47ce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969b4ca473b607877877b16da47cea8"/>
                    <pic:cNvPicPr>
                      <a:picLocks noChangeAspect="1"/>
                    </pic:cNvPicPr>
                  </pic:nvPicPr>
                  <pic:blipFill>
                    <a:blip r:embed="rId9"/>
                    <a:stretch>
                      <a:fillRect/>
                    </a:stretch>
                  </pic:blipFill>
                  <pic:spPr>
                    <a:xfrm>
                      <a:off x="0" y="0"/>
                      <a:ext cx="6181090" cy="3771265"/>
                    </a:xfrm>
                    <a:prstGeom prst="rect">
                      <a:avLst/>
                    </a:prstGeom>
                  </pic:spPr>
                </pic:pic>
              </a:graphicData>
            </a:graphic>
          </wp:inline>
        </w:drawing>
      </w:r>
    </w:p>
    <w:p w14:paraId="7E7117D2">
      <w:pPr>
        <w:jc w:val="center"/>
        <w:rPr>
          <w:rFonts w:hint="default" w:eastAsia="仿宋"/>
          <w:b/>
          <w:bCs/>
          <w:sz w:val="24"/>
          <w:szCs w:val="21"/>
          <w:lang w:val="en-US" w:eastAsia="zh-CN"/>
        </w:rPr>
      </w:pPr>
      <w:r>
        <w:rPr>
          <w:rFonts w:hint="eastAsia"/>
          <w:b/>
          <w:bCs/>
          <w:sz w:val="24"/>
          <w:szCs w:val="21"/>
          <w:lang w:val="en-US" w:eastAsia="zh-CN"/>
        </w:rPr>
        <w:t>招标公告</w:t>
      </w:r>
    </w:p>
    <w:p w14:paraId="5A4B8A21">
      <w:pPr>
        <w:jc w:val="center"/>
        <w:rPr>
          <w:rFonts w:hint="eastAsia" w:eastAsia="仿宋"/>
          <w:b/>
          <w:bCs/>
          <w:sz w:val="24"/>
          <w:szCs w:val="21"/>
          <w:lang w:eastAsia="zh-CN"/>
        </w:rPr>
      </w:pPr>
    </w:p>
    <w:p w14:paraId="17A168C6">
      <w:pPr>
        <w:jc w:val="center"/>
        <w:rPr>
          <w:rFonts w:hint="eastAsia"/>
          <w:b/>
          <w:bCs/>
          <w:sz w:val="24"/>
          <w:szCs w:val="21"/>
          <w:lang w:val="en-US" w:eastAsia="zh-CN"/>
        </w:rPr>
      </w:pPr>
    </w:p>
    <w:p w14:paraId="3348C5E0">
      <w:pPr>
        <w:jc w:val="center"/>
        <w:rPr>
          <w:rFonts w:hint="eastAsia"/>
          <w:b/>
          <w:bCs/>
          <w:sz w:val="24"/>
          <w:szCs w:val="21"/>
          <w:lang w:val="en-US" w:eastAsia="zh-CN"/>
        </w:rPr>
      </w:pPr>
    </w:p>
    <w:p w14:paraId="32B39157">
      <w:pPr>
        <w:rPr>
          <w:rFonts w:hint="default"/>
          <w:lang w:val="en-US" w:eastAsia="zh-CN"/>
        </w:rPr>
      </w:pPr>
      <w:r>
        <w:rPr>
          <w:rFonts w:hint="default"/>
          <w:lang w:val="en-US" w:eastAsia="zh-CN"/>
        </w:rPr>
        <w:br w:type="page"/>
      </w:r>
    </w:p>
    <w:p w14:paraId="74D8C77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eastAsia"/>
          <w:lang w:val="en-US" w:eastAsia="zh-CN"/>
        </w:rPr>
        <w:t>SRM</w:t>
      </w:r>
      <w:r>
        <w:rPr>
          <w:rFonts w:hint="default"/>
          <w:lang w:val="en-US" w:eastAsia="zh-CN"/>
        </w:rPr>
        <w:t>系统是</w:t>
      </w:r>
      <w:r>
        <w:rPr>
          <w:rFonts w:hint="eastAsia"/>
          <w:lang w:val="en-US" w:eastAsia="zh-CN"/>
        </w:rPr>
        <w:t>中骏智能（泉州）</w:t>
      </w:r>
      <w:r>
        <w:rPr>
          <w:rFonts w:hint="default"/>
          <w:lang w:val="en-US" w:eastAsia="zh-CN"/>
        </w:rPr>
        <w:t>进行采购执行流程工作所使用的统一平台。通过</w:t>
      </w:r>
      <w:r>
        <w:rPr>
          <w:rFonts w:hint="eastAsia"/>
          <w:lang w:val="en-US" w:eastAsia="zh-CN"/>
        </w:rPr>
        <w:t>SRM</w:t>
      </w:r>
      <w:r>
        <w:rPr>
          <w:rFonts w:hint="default"/>
          <w:lang w:val="en-US" w:eastAsia="zh-CN"/>
        </w:rPr>
        <w:t>系统</w:t>
      </w:r>
      <w:r>
        <w:rPr>
          <w:rFonts w:hint="eastAsia"/>
          <w:lang w:val="en-US" w:eastAsia="zh-CN"/>
        </w:rPr>
        <w:t>，能够提高采购执行效率，优化采购流程，确保采购过程合规性和高效性。</w:t>
      </w:r>
    </w:p>
    <w:p w14:paraId="2572075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default"/>
          <w:lang w:val="en-US" w:eastAsia="zh-CN"/>
        </w:rPr>
        <w:t>通过</w:t>
      </w:r>
      <w:r>
        <w:rPr>
          <w:rFonts w:hint="eastAsia"/>
          <w:lang w:val="en-US" w:eastAsia="zh-CN"/>
        </w:rPr>
        <w:t>SRM</w:t>
      </w:r>
      <w:r>
        <w:rPr>
          <w:rFonts w:hint="default"/>
          <w:lang w:val="en-US" w:eastAsia="zh-CN"/>
        </w:rPr>
        <w:t>系统，</w:t>
      </w:r>
      <w:r>
        <w:rPr>
          <w:rFonts w:hint="eastAsia"/>
          <w:lang w:val="en-US" w:eastAsia="zh-CN"/>
        </w:rPr>
        <w:t>中骏智能（泉州）</w:t>
      </w:r>
      <w:r>
        <w:rPr>
          <w:rFonts w:hint="default"/>
          <w:lang w:val="en-US" w:eastAsia="zh-CN"/>
        </w:rPr>
        <w:t>能实现平台采购流程一体化操作：（1）针对新项目通过系统进行采购申请、审批、下单操作；（2）通过平台完成物料入库，发票预制归档操作；（3）采购系统平台能够实时更新和显示合同的状态，如待审核、已审核、已付款等，以便及时跟踪和管理。（4）对现有采购订单进行管理，包括基本信息管理、历史订单记录等。该平台帮助公司实现了采购系统平台流程的一体化操作，优化采购流程以及加强内部协作，提高采购效率，同时确保采购过程的合规性和透明性。</w:t>
      </w:r>
    </w:p>
    <w:p w14:paraId="67431F5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p>
    <w:p w14:paraId="5A2DAC5F">
      <w:pPr>
        <w:keepNext w:val="0"/>
        <w:keepLines w:val="0"/>
        <w:pageBreakBefore w:val="0"/>
        <w:widowControl w:val="0"/>
        <w:kinsoku/>
        <w:wordWrap/>
        <w:overflowPunct/>
        <w:topLinePunct w:val="0"/>
        <w:autoSpaceDE/>
        <w:autoSpaceDN/>
        <w:bidi w:val="0"/>
        <w:adjustRightInd/>
        <w:snapToGrid/>
        <w:ind w:firstLine="482" w:firstLineChars="200"/>
        <w:jc w:val="center"/>
        <w:textAlignment w:val="auto"/>
        <w:rPr>
          <w:rFonts w:hint="default"/>
          <w:lang w:val="en-US" w:eastAsia="zh-CN"/>
        </w:rPr>
      </w:pPr>
      <w:r>
        <w:rPr>
          <w:rFonts w:hint="eastAsia"/>
          <w:b/>
          <w:bCs/>
          <w:sz w:val="24"/>
          <w:szCs w:val="21"/>
          <w:lang w:val="en-US" w:eastAsia="zh-CN"/>
        </w:rPr>
        <w:t>SRM系统界面</w:t>
      </w:r>
      <w:r>
        <w:rPr>
          <w:rFonts w:hint="default"/>
          <w:lang w:val="en-US" w:eastAsia="zh-CN"/>
        </w:rPr>
        <w:drawing>
          <wp:inline distT="0" distB="0" distL="114300" distR="114300">
            <wp:extent cx="6181725" cy="3355340"/>
            <wp:effectExtent l="0" t="0" r="9525" b="16510"/>
            <wp:docPr id="4" name="图片 4" descr="e92b13455ede5e33537c6dc618c032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92b13455ede5e33537c6dc618c032f4"/>
                    <pic:cNvPicPr>
                      <a:picLocks noChangeAspect="1"/>
                    </pic:cNvPicPr>
                  </pic:nvPicPr>
                  <pic:blipFill>
                    <a:blip r:embed="rId10"/>
                    <a:stretch>
                      <a:fillRect/>
                    </a:stretch>
                  </pic:blipFill>
                  <pic:spPr>
                    <a:xfrm>
                      <a:off x="0" y="0"/>
                      <a:ext cx="6181725" cy="3355340"/>
                    </a:xfrm>
                    <a:prstGeom prst="rect">
                      <a:avLst/>
                    </a:prstGeom>
                  </pic:spPr>
                </pic:pic>
              </a:graphicData>
            </a:graphic>
          </wp:inline>
        </w:drawing>
      </w:r>
    </w:p>
    <w:sectPr>
      <w:pgSz w:w="11906" w:h="16838"/>
      <w:pgMar w:top="1440" w:right="1080" w:bottom="1440" w:left="1080"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g5MWRkMGZiNzc5NWNkNDMzNTE2Y2I4YWJiZjNiMWQifQ=="/>
  </w:docVars>
  <w:rsids>
    <w:rsidRoot w:val="00112ABB"/>
    <w:rsid w:val="00112ABB"/>
    <w:rsid w:val="00174460"/>
    <w:rsid w:val="004110AF"/>
    <w:rsid w:val="0042154D"/>
    <w:rsid w:val="00496650"/>
    <w:rsid w:val="005F2455"/>
    <w:rsid w:val="00701477"/>
    <w:rsid w:val="00A65700"/>
    <w:rsid w:val="00C13B57"/>
    <w:rsid w:val="00E41C6E"/>
    <w:rsid w:val="29EE49E0"/>
    <w:rsid w:val="2C7D2220"/>
    <w:rsid w:val="2EB85B97"/>
    <w:rsid w:val="32D6779A"/>
    <w:rsid w:val="395E5C2A"/>
    <w:rsid w:val="4034215A"/>
    <w:rsid w:val="41916F22"/>
    <w:rsid w:val="49E80B8C"/>
    <w:rsid w:val="55E9685D"/>
    <w:rsid w:val="56B04175"/>
    <w:rsid w:val="59CC78DF"/>
    <w:rsid w:val="68995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eastAsia="仿宋" w:cstheme="minorBidi"/>
      <w:kern w:val="2"/>
      <w:sz w:val="28"/>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autoRedefine/>
    <w:unhideWhenUsed/>
    <w:qFormat/>
    <w:uiPriority w:val="99"/>
    <w:rPr>
      <w:color w:val="0563C1" w:themeColor="hyperlink"/>
      <w:u w:val="single"/>
      <w14:textFill>
        <w14:solidFill>
          <w14:schemeClr w14:val="hlink"/>
        </w14:solidFill>
      </w14:textFill>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character" w:customStyle="1" w:styleId="9">
    <w:name w:val="Unresolved Mention"/>
    <w:basedOn w:val="5"/>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578</Words>
  <Characters>590</Characters>
  <Lines>2</Lines>
  <Paragraphs>1</Paragraphs>
  <TotalTime>24</TotalTime>
  <ScaleCrop>false</ScaleCrop>
  <LinksUpToDate>false</LinksUpToDate>
  <CharactersWithSpaces>591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2023-05-27T07:17:00Z</dcterms:created>
  <dc:creator>JR Chi</dc:creator>
  <cp:lastModifiedBy>·</cp:lastModifiedBy>
  <dcterms:modified xsi:type="dcterms:W3CDTF">2026-04-20T08:09:13Z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54D00E9DD444445FB958C00A87EA2349_13</vt:lpwstr>
  </property>
  <property fmtid="{D5CDD505-2E9C-101B-9397-08002B2CF9AE}" pid="4" name="KSOTemplateDocerSaveRecord">
    <vt:lpwstr>eyJoZGlkIjoiM2Q4ZDc3N2RkZGVjZjZjY2NjZDg2ZjQ0MjM3NGUzMjIiLCJ1c2VySWQiOiIxOTc2OTk1NDMifQ==</vt:lpwstr>
  </property>
</Properties>
</file>